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26-146</w:t>
      </w:r>
    </w:p>
    <w:p>
      <w:pPr>
        <w:spacing w:before="0" w:after="0" w:line="480"/>
        <w:ind w:left="120"/>
        <w:jc w:val="left"/>
      </w:pPr>
    </w:p>
    <w:p>
      <w:pPr>
        <w:spacing w:before="0" w:after="0" w:line="480"/>
        <w:ind w:left="120"/>
        <w:jc w:val="center"/>
      </w:pPr>
      <w:r>
        <w:rPr>
          <w:rFonts w:ascii="Times New Roman" w:hAnsi="Times New Roman"/>
          <w:b/>
          <w:i w:val="false"/>
          <w:color w:val="000000"/>
          <w:sz w:val="28"/>
        </w:rPr>
        <w:t>ENVIRONMENTAL PROTECTION COMMISSION[567]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567—Chapters 2, 2505, and 2506</w:t>
      </w:r>
    </w:p>
    <w:p>
      <w:pPr>
        <w:spacing w:before="0" w:after="0" w:line="480"/>
        <w:ind w:left="120"/>
        <w:jc w:val="center"/>
      </w:pPr>
      <w:r>
        <w:rPr>
          <w:rFonts w:ascii="Times New Roman" w:hAnsi="Times New Roman"/>
          <w:b w:val="false"/>
          <w:i w:val="false"/>
          <w:color w:val="000000"/>
          <w:sz w:val="24"/>
        </w:rPr>
        <w:t>“Fair Information Practices;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22.11 and 2026 Iowa Acts, Senate File 2463</w:t>
      </w:r>
    </w:p>
    <w:p>
      <w:pPr>
        <w:spacing w:before="0" w:after="0" w:line="480"/>
        <w:ind w:left="120"/>
        <w:jc w:val="both"/>
      </w:pPr>
      <w:r>
        <w:rPr>
          <w:rFonts w:ascii="Times New Roman" w:hAnsi="Times New Roman"/>
          <w:b w:val="false"/>
          <w:i w:val="false"/>
          <w:color w:val="000000"/>
          <w:sz w:val="24"/>
        </w:rPr>
        <w:t>State or federal law(s) implemented by the rulemaking: Iowa Code chapter 17A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Backbone Conference Room</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Natural Resources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Kelli Book, Attorney</w:t>
            </w:r>
            <w:r>
              <w:br/>
            </w:r>
            <w:r>
              <w:rPr>
                <w:rFonts w:ascii="Times New Roman" w:hAnsi="Times New Roman"/>
                <w:b w:val="false"/>
                <w:i w:val="false"/>
                <w:color w:val="000000"/>
                <w:sz w:val="14"/>
              </w:rPr>
              <w:t>Iowa 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515.210.3408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kelli.book@dnr.iowa.gov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fair information practices (7—Chapter 2505) to ensure that business confidential records are properly processed and stored by the Department. This rulemaking is also being done in accordance with 2026 Iowa Acts, Senate File 2463, in which portions of Chapter 2 relating to personally identifiable information were not rescinded. In an effort to consolidate all Department rules regarding fair information practices, the content related to personally identifiable information is being moved to Chapter 2505. This will allow for Chapter 2 to be rescinded.</w:t>
      </w:r>
    </w:p>
    <w:p>
      <w:pPr>
        <w:spacing w:before="0" w:after="0" w:line="480"/>
        <w:ind w:left="120"/>
        <w:jc w:val="both"/>
      </w:pPr>
      <w:r>
        <w:rPr>
          <w:rFonts w:ascii="Times New Roman" w:hAnsi="Times New Roman"/>
          <w:b w:val="false"/>
          <w:i w:val="false"/>
          <w:color w:val="000000"/>
          <w:sz w:val="24"/>
        </w:rPr>
        <w:t>    This proposed rulemaking also modifies the Uniform Rules on Agency Procedure related to contested cases (7—Chapter 2506) to ensure that the deadline for an administrative appeal is a definite date.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general public; this proposed rulemaking is mostly procedural and descriptive in nature. Those requesting a public record may incur a cost associated with fees prescribed by law and rule.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provides procedural structure of public and confidential records for the general public and regulated entities. Those parties will benefit from clear and concise rules as to how records will be maintained by the Department. This rulemaking also provides clear and concise timing of administrative appeals for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provides the procedural structure of public and confidential records for the general public and regulated entities. Those parties will benefit from clear and concise rules as to how records will be maintained by the Department. This rulemaking also provides clear and concise timing of administrative appeals for 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impact on State revenues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proposed rulemaking is consistent with the Uniform Rules on Agency Procedure for contested cases and fair information practices and provisions of Iowa Code chapter 22.</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 This rulemaking will benefit small businesses by providing clear and concise rules as to how records will be maintained by the Department and provide guidance for the appeal of contested cases.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567—Chapter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567—2505.5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 xml:space="preserve">The custodian may treat a record as a confidential record and withhold it from examination only to the extent that the custodian is authorized by Iowa Code section </w:t>
      </w:r>
      <w:hyperlink r:id="rId8">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another applicable provision of law, or a court order. Unless deemed as a confidential record or considered as a confidential record by Iowa Code section </w:t>
      </w:r>
      <w:hyperlink r:id="rId9">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all records are considered public and routinely disclosed without the consent of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2505.5(1)</w:t>
      </w:r>
      <w:r>
        <w:rPr>
          <w:rFonts w:ascii="Times New Roman" w:hAnsi="Times New Roman"/>
          <w:b w:val="false"/>
          <w:i w:val="false"/>
          <w:color w:val="000000"/>
          <w:sz w:val="24"/>
        </w:rPr>
        <w:t> </w:t>
      </w:r>
      <w:r>
        <w:rPr>
          <w:rFonts w:ascii="Times New Roman" w:hAnsi="Times New Roman"/>
          <w:b w:val="false"/>
          <w:i/>
          <w:color w:val="000000"/>
          <w:sz w:val="24"/>
        </w:rPr>
        <w:t xml:space="preserve">Persons who may request. </w:t>
      </w:r>
      <w:r>
        <w:rPr>
          <w:rFonts w:ascii="Times New Roman" w:hAnsi="Times New Roman"/>
          <w:b w:val="false"/>
          <w:i w:val="false"/>
          <w:color w:val="000000"/>
          <w:sz w:val="24"/>
        </w:rPr>
        <w:t xml:space="preserve">Any person who would be aggrieved or adversely affected by disclosure of a record and who asserts that Iowa Code section </w:t>
      </w:r>
      <w:hyperlink r:id="rId10">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2505.5(3)</w:t>
      </w:r>
      <w:r>
        <w:rPr>
          <w:rFonts w:ascii="Times New Roman" w:hAnsi="Times New Roman"/>
          <w:b w:val="false"/>
          <w:i w:val="false"/>
          <w:color w:val="000000"/>
          <w:sz w:val="24"/>
        </w:rPr>
        <w:t> </w:t>
      </w:r>
      <w:r>
        <w:rPr>
          <w:rFonts w:ascii="Times New Roman" w:hAnsi="Times New Roman"/>
          <w:b w:val="false"/>
          <w:i/>
          <w:color w:val="000000"/>
          <w:sz w:val="24"/>
        </w:rPr>
        <w:t xml:space="preserve">Timing of decision. </w:t>
      </w:r>
      <w:r>
        <w:rPr>
          <w:rFonts w:ascii="Times New Roman" w:hAnsi="Times New Roman"/>
          <w:b w:val="false"/>
          <w:i w:val="false"/>
          <w:color w:val="000000"/>
          <w:sz w:val="24"/>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Request granted or deferred. </w:t>
      </w:r>
      <w:r>
        <w:rPr>
          <w:rFonts w:ascii="Times New Roman" w:hAnsi="Times New Roman"/>
          <w:b w:val="false"/>
          <w:i w:val="false"/>
          <w:color w:val="000000"/>
          <w:sz w:val="24"/>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2505.5(5)</w:t>
      </w:r>
      <w:r>
        <w:rPr>
          <w:rFonts w:ascii="Times New Roman" w:hAnsi="Times New Roman"/>
          <w:b w:val="false"/>
          <w:i w:val="false"/>
          <w:color w:val="000000"/>
          <w:sz w:val="24"/>
        </w:rPr>
        <w:t> </w:t>
      </w:r>
      <w:r>
        <w:rPr>
          <w:rFonts w:ascii="Times New Roman" w:hAnsi="Times New Roman"/>
          <w:b w:val="false"/>
          <w:i/>
          <w:color w:val="000000"/>
          <w:sz w:val="24"/>
        </w:rPr>
        <w:t xml:space="preserve">Request denied and opportunity to seek injunction. </w:t>
      </w:r>
      <w:r>
        <w:rPr>
          <w:rFonts w:ascii="Times New Roman" w:hAnsi="Times New Roman"/>
          <w:b w:val="false"/>
          <w:i w:val="false"/>
          <w:color w:val="000000"/>
          <w:sz w:val="24"/>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11">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2505.5(6)</w:t>
      </w:r>
      <w:r>
        <w:rPr>
          <w:rFonts w:ascii="Times New Roman" w:hAnsi="Times New Roman"/>
          <w:b w:val="false"/>
          <w:i w:val="false"/>
          <w:color w:val="000000"/>
          <w:sz w:val="24"/>
        </w:rPr>
        <w:t> </w:t>
      </w:r>
      <w:r>
        <w:rPr>
          <w:rFonts w:ascii="Times New Roman" w:hAnsi="Times New Roman"/>
          <w:b w:val="false"/>
          <w:i/>
          <w:color w:val="000000"/>
          <w:sz w:val="24"/>
        </w:rPr>
        <w:t xml:space="preserve">Processing of confidentiality claims. </w:t>
      </w:r>
      <w:r>
        <w:rPr>
          <w:rFonts w:ascii="Times New Roman" w:hAnsi="Times New Roman"/>
          <w:b w:val="false"/>
          <w:i w:val="false"/>
          <w:color w:val="000000"/>
          <w:sz w:val="24"/>
        </w:rPr>
        <w:t>In order to request a record be held confidential with the department, the party will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Confidentiality request process. An entity that submits information to the department may assert a confidentiality claim in accordance with the following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Attach a cover sheet indicating the entity is seeking the information to be held confidential. The submission will include a letter of substantiation with the information required by paragraph </w:t>
      </w:r>
      <w:hyperlink r:id="rId12">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two copies of the information: one copy with all information present and a second copy with the information for which the party wishes to claim confidential treatment deleted from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Contents of claim. All claims for confidentiality must be substantiated with the following information in a letter attached to the proposed confidential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all measures the business has taken to protect the confidentiality of the information and a statement of intent to continue to take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Practices and policies of other businesses, if known, regarding confidentiality of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that the information is not, and has not been, reasonably attainable without the consent of the business by other persons other than government bodies by use of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statement demonstrating that disclosure of the information is likely to cause substantial harm to the business’s competitive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reference to any other determinations of confidential status of the information or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action by department. All claims will be reviewed for completeness and applicability of subrule </w:t>
      </w:r>
      <w:hyperlink r:id="rId13">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If the claim does not include the substantiation required by paragraph </w:t>
      </w:r>
      <w:hyperlink r:id="rId14">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r>
        <w:rPr>
          <w:rFonts w:ascii="Times New Roman" w:hAnsi="Times New Roman"/>
          <w:b w:val="false"/>
          <w:i w:val="false"/>
          <w:color w:val="000000"/>
          <w:sz w:val="24"/>
        </w:rPr>
        <w:t xml:space="preserve"> or if the claim relates to information within subrule </w:t>
      </w:r>
      <w:hyperlink r:id="rId15">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the business making the claim will be notified by certified mail. If the substantiation or comment regarding the inapplicability of subrule </w:t>
      </w:r>
      <w:hyperlink r:id="rId16">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business has taken and intends to continue to take reasonable measures to protect the confidentiality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information is not readily obtainable by others by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is not unreasonable in view of the nature of the information, the interests and normal practices of the business, and the practices of other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statute or rule specifically requires disclosure of the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a substantial likelihood that disclosure of the information would cause substantial harm to the competitive position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procedures within this rule will not be considered contested case proceedings as provided in Iowa Code chapter </w:t>
      </w:r>
      <w:hyperlink r:id="rId1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2505.5(7)</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The following records may be withheld from public inspection. Records are listed by category, according to the legal basis for withholding them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Sealed bids received prior to the time set for public opening of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 records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are exempt from disclosure under Iowa Code section </w:t>
      </w:r>
      <w:hyperlink r:id="rId18">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Minutes of closed meetings of a government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Identifying details in final orders, decisions, and opinions to the extent required to prevent a clearly unwarranted invasion of personal privacy or trade secrets;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Enable law violators to avoid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Facilitate disregard of requirements imposed by law;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Give a clearly improper advantage to persons who are in an adverse position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constitute attorney-client communications, or are otherwise privileged. Attorney work product is confidential under Iowa Code sections </w:t>
      </w:r>
      <w:hyperlink r:id="rId19">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R.C.P. 1.503(3); Fed. R. Civ. P. 26(b)(3); and case law. Attorney-client communications are confidential under Iowa Code sections </w:t>
      </w:r>
      <w:hyperlink r:id="rId22">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records made confidential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2505.5(8)</w:t>
      </w:r>
      <w:r>
        <w:rPr>
          <w:rFonts w:ascii="Times New Roman" w:hAnsi="Times New Roman"/>
          <w:b w:val="false"/>
          <w:i w:val="false"/>
          <w:color w:val="000000"/>
          <w:sz w:val="24"/>
        </w:rPr>
        <w:t> </w:t>
      </w:r>
      <w:r>
        <w:rPr>
          <w:rFonts w:ascii="Times New Roman" w:hAnsi="Times New Roman"/>
          <w:b w:val="false"/>
          <w:i/>
          <w:color w:val="000000"/>
          <w:sz w:val="24"/>
        </w:rPr>
        <w:t xml:space="preserve">Not confidential. </w:t>
      </w:r>
      <w:r>
        <w:rPr>
          <w:rFonts w:ascii="Times New Roman" w:hAnsi="Times New Roman"/>
          <w:b w:val="false"/>
          <w:i w:val="false"/>
          <w:color w:val="000000"/>
          <w:sz w:val="24"/>
        </w:rPr>
        <w:t>Notwithstanding any other provision, the following information will not be considered confidential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Emission data. For purposes of this subrule, “emission data” means the following, with reference to any source of emission of any substance into the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Analytical results of monitoring or public water supply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any permit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i w:val="false"/>
          <w:color w:val="000000"/>
          <w:sz w:val="24"/>
        </w:rPr>
        <w:t>567—2505.9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organization, and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Organization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Planning and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Administrative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Insurance and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Departmental emergency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Correspondence and reference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Budgets, accounting and financial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Budget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Office services and facilities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Printing and reproduction.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Motor pool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Facilities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Engineering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Equipment, supplies,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Legislative and legal.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legislative liaison.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Bills, joint resolutions, amendments, messages,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Attorney general opinions and research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Claims against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Lawsuits filed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28E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Personnel and payroll.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Employee personnel/payroll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Merit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Payroll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Position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and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Scheduling, assignments, and working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Grievances.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Employee benefits and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Employment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Management improvement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Delegation of authority and signature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Conservation and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Surface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resources geographic information system (GIS) library.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Oil/gas exploration and drilling.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Forestry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Fish and game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Environmental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Air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Water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Land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Hazardous material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Leaking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Environmental—interdisciplinary.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Tort claims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Numerous licensing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Lifetime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Boat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Docks, mooring, buoys or raft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Snowmobile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Miscellaneous mailing list (e.g., magazine).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Payroll and personnel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Fur buyer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Fish and game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Safety certified students (hunter safety, snowmobile safety, and boating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Special events applications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Snowmobile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Boating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Drowning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Timber buyer reports and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Work programs with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Timber management and forestry.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State park ranger violation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Donations.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Real estate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Encroachments.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Campground host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Law enforcement intelligence network (LEIN) and turn in poachers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Park leases and concessions.</w:t>
      </w:r>
    </w:p>
    <w:p>
      <w:pPr>
        <w:spacing w:before="0" w:after="0" w:line="480"/>
        <w:ind w:left="120"/>
        <w:jc w:val="both"/>
      </w:pPr>
      <w:r>
        <w:rPr>
          <w:rFonts w:ascii="Times New Roman" w:hAnsi="Times New Roman"/>
          <w:b/>
          <w:i w:val="false"/>
          <w:color w:val="000000"/>
          <w:sz w:val="24"/>
        </w:rPr>
        <w:t>567—2505.10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department of natural resources other than record systems as defined in rule </w:t>
      </w:r>
      <w:hyperlink r:id="rId24">
        <w:r>
          <w:rPr>
            <w:rStyle w:val="Hyperlink"/>
            <w:rFonts w:ascii="Times New Roman" w:hAnsi="Times New Roman"/>
            <w:b w:val="false"/>
            <w:i w:val="false"/>
            <w:color w:val="000000"/>
            <w:sz w:val="24"/>
          </w:rPr>
          <w:t>567—2505.9</w:t>
        </w:r>
      </w:hyperlink>
      <w:r>
        <w:rPr>
          <w:rFonts w:ascii="Times New Roman" w:hAnsi="Times New Roman"/>
          <w:b w:val="false"/>
          <w:i w:val="false"/>
          <w:color w:val="000000"/>
          <w:sz w:val="24"/>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Commission records. </w:t>
      </w:r>
      <w:r>
        <w:rPr>
          <w:rFonts w:ascii="Times New Roman" w:hAnsi="Times New Roman"/>
          <w:b w:val="false"/>
          <w:i w:val="false"/>
          <w:color w:val="000000"/>
          <w:sz w:val="24"/>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26">
        <w:r>
          <w:rPr>
            <w:rStyle w:val="Hyperlink"/>
            <w:rFonts w:ascii="Times New Roman" w:hAnsi="Times New Roman"/>
            <w:b w:val="false"/>
            <w:i w:val="false"/>
            <w:color w:val="000000"/>
            <w:sz w:val="24"/>
          </w:rPr>
          <w:t>21.5(5)</w:t>
        </w:r>
      </w:hyperlink>
      <w:r>
        <w:rPr>
          <w:rFonts w:ascii="Times New Roman" w:hAnsi="Times New Roman"/>
          <w:b w:val="false"/>
          <w:i w:val="false"/>
          <w:color w:val="000000"/>
          <w:sz w:val="24"/>
        </w:rPr>
        <w:t xml:space="preserve">. Commission records contain information about people who participate in meetings. This information is collected pursuant to Iowa Code section </w:t>
      </w:r>
      <w:hyperlink r:id="rId27">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for various department programs are available from the department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color w:val="000000"/>
          <w:sz w:val="24"/>
        </w:rPr>
        <w:t xml:space="preserve">Grants or loans. </w:t>
      </w:r>
      <w:r>
        <w:rPr>
          <w:rFonts w:ascii="Times New Roman" w:hAnsi="Times New Roman"/>
          <w:b w:val="false"/>
          <w:i w:val="false"/>
          <w:color w:val="000000"/>
          <w:sz w:val="24"/>
        </w:rPr>
        <w:t>Records on persons and institutions receiving grants or loans are available through the institutions, also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department of natural resources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color w:val="000000"/>
          <w:sz w:val="24"/>
        </w:rPr>
        <w:t xml:space="preserve">Policy manuals. </w:t>
      </w:r>
      <w:r>
        <w:rPr>
          <w:rFonts w:ascii="Times New Roman" w:hAnsi="Times New Roman"/>
          <w:b w:val="false"/>
          <w:i w:val="false"/>
          <w:color w:val="000000"/>
          <w:sz w:val="24"/>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color w:val="000000"/>
          <w:sz w:val="24"/>
        </w:rPr>
        <w:t xml:space="preserve">All other records that are not exempted from disclosure by law. </w:t>
      </w:r>
      <w:r>
        <w:rPr>
          <w:rFonts w:ascii="Times New Roman" w:hAnsi="Times New Roman"/>
          <w:b w:val="false"/>
          <w:i w:val="false"/>
          <w:color w:val="000000"/>
          <w:sz w:val="24"/>
        </w:rPr>
        <w:t>The department maintains a variety of records that do not generally contain information pertaining to named individuals.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567—Chapter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28">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2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30">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567—2506.4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entitled to a contested case proceeding must electronically file written request for such a proceeding within the time specified by the governing rules or statutes or, if no rule or statute sets such a time, within 60 days.</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567.2505.5.pdf" Type="http://schemas.openxmlformats.org/officeDocument/2006/relationships/hyperlink" Id="rId12"/>
    <Relationship TargetMode="External" Target="https://www.legis.iowa.gov/docs/iac/rule/567.2505.5.pdf" Type="http://schemas.openxmlformats.org/officeDocument/2006/relationships/hyperlink" Id="rId13"/>
    <Relationship TargetMode="External" Target="https://www.legis.iowa.gov/docs/iac/rule/567.2505.5.pdf" Type="http://schemas.openxmlformats.org/officeDocument/2006/relationships/hyperlink" Id="rId14"/>
    <Relationship TargetMode="External" Target="https://www.legis.iowa.gov/docs/iac/rule/567.2505.5.pdf" Type="http://schemas.openxmlformats.org/officeDocument/2006/relationships/hyperlink" Id="rId15"/>
    <Relationship TargetMode="External" Target="https://www.legis.iowa.gov/docs/iac/rule/567.2505.5.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622.10.pdf" Type="http://schemas.openxmlformats.org/officeDocument/2006/relationships/hyperlink" Id="rId20"/>
    <Relationship TargetMode="External" Target="https://www.legis.iowa.gov/docs/ico/chapter/622.11.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ac/rule/567.2505.9.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3.pdf" Type="http://schemas.openxmlformats.org/officeDocument/2006/relationships/hyperlink" Id="rId27"/>
    <Relationship TargetMode="External" Target="https://www.legis.iowa.gov/docs/iac/chapter/7.2500.pdf" Type="http://schemas.openxmlformats.org/officeDocument/2006/relationships/hyperlink" Id="rId28"/>
    <Relationship TargetMode="External" Target="https://www.legis.iowa.gov/docs/iac/chapter/7.2506.pdf" Type="http://schemas.openxmlformats.org/officeDocument/2006/relationships/hyperlink" Id="rId29"/>
    <Relationship TargetMode="External" Target="https://www.legis.iowa.gov/docs/ico/chapter/17A.24.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